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E6346CC"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1A0078">
        <w:rPr>
          <w:rFonts w:ascii="Arial" w:hAnsi="Arial" w:cs="Arial"/>
          <w:b/>
          <w:bCs/>
          <w:sz w:val="24"/>
          <w:szCs w:val="24"/>
        </w:rPr>
        <w:t>5</w:t>
      </w:r>
      <w:r w:rsidR="00DF7FB6" w:rsidRPr="00F76B76">
        <w:rPr>
          <w:rFonts w:ascii="Arial" w:hAnsi="Arial" w:cs="Arial"/>
          <w:b/>
          <w:bCs/>
          <w:sz w:val="24"/>
          <w:szCs w:val="24"/>
        </w:rPr>
        <w:tab/>
      </w:r>
      <w:r w:rsidR="0093531A" w:rsidRPr="0093531A">
        <w:rPr>
          <w:rFonts w:ascii="Arial" w:hAnsi="Arial" w:cs="Arial"/>
          <w:b/>
          <w:bCs/>
          <w:sz w:val="24"/>
          <w:szCs w:val="24"/>
        </w:rPr>
        <w:t>S2-1909484</w:t>
      </w:r>
      <w:bookmarkStart w:id="0" w:name="_GoBack"/>
      <w:bookmarkEnd w:id="0"/>
    </w:p>
    <w:p w14:paraId="45DD8217" w14:textId="09E25733" w:rsidR="00DF7FB6" w:rsidRPr="00F76B76" w:rsidRDefault="001A0078"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14-18</w:t>
      </w:r>
      <w:r w:rsidR="000C3784">
        <w:rPr>
          <w:rFonts w:ascii="Arial" w:hAnsi="Arial" w:cs="Arial"/>
          <w:b/>
          <w:bCs/>
          <w:sz w:val="24"/>
        </w:rPr>
        <w:t xml:space="preserve">, </w:t>
      </w:r>
      <w:r>
        <w:rPr>
          <w:rFonts w:ascii="Arial" w:hAnsi="Arial" w:cs="Arial"/>
          <w:b/>
          <w:bCs/>
          <w:sz w:val="24"/>
        </w:rPr>
        <w:t>Split, Croatia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09D98640" w:rsidR="00AF4567" w:rsidRDefault="00440983">
      <w:pPr>
        <w:ind w:left="2127" w:hanging="2127"/>
        <w:rPr>
          <w:rFonts w:ascii="Arial" w:hAnsi="Arial" w:cs="Arial"/>
          <w:b/>
        </w:rPr>
      </w:pPr>
      <w:r>
        <w:rPr>
          <w:rFonts w:ascii="Arial" w:hAnsi="Arial" w:cs="Arial"/>
          <w:b/>
        </w:rPr>
        <w:t>Title:</w:t>
      </w:r>
      <w:r>
        <w:rPr>
          <w:rFonts w:ascii="Arial" w:hAnsi="Arial" w:cs="Arial"/>
          <w:b/>
        </w:rPr>
        <w:tab/>
      </w:r>
      <w:r w:rsidR="00DF4C28">
        <w:rPr>
          <w:rFonts w:ascii="Arial" w:hAnsi="Arial" w:cs="Arial"/>
          <w:b/>
        </w:rPr>
        <w:t>Reconsidering the g</w:t>
      </w:r>
      <w:r w:rsidR="00FB1830">
        <w:rPr>
          <w:rFonts w:ascii="Arial" w:hAnsi="Arial" w:cs="Arial"/>
          <w:b/>
        </w:rPr>
        <w:t xml:space="preserve">ranularity of </w:t>
      </w:r>
      <w:r w:rsidR="00DF4C28">
        <w:rPr>
          <w:rFonts w:ascii="Arial" w:hAnsi="Arial" w:cs="Arial"/>
          <w:b/>
        </w:rPr>
        <w:t>UE radio Capability ID</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425E6E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3531A">
        <w:rPr>
          <w:rFonts w:ascii="Arial" w:hAnsi="Arial" w:cs="Arial"/>
          <w:b/>
        </w:rPr>
        <w:t>7.10.3</w:t>
      </w:r>
    </w:p>
    <w:p w14:paraId="58741374" w14:textId="694871A3"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DF4C28">
        <w:rPr>
          <w:rFonts w:ascii="Arial" w:hAnsi="Arial" w:cs="Arial"/>
          <w:b/>
          <w:lang w:eastAsia="ko-KR"/>
        </w:rPr>
        <w:t>RACS</w:t>
      </w:r>
      <w:r w:rsidR="0093531A">
        <w:rPr>
          <w:rFonts w:ascii="Arial" w:hAnsi="Arial" w:cs="Arial"/>
          <w:b/>
          <w:lang w:eastAsia="ko-KR"/>
        </w:rPr>
        <w:t>/ Rel-16</w:t>
      </w:r>
    </w:p>
    <w:p w14:paraId="781B1DF5" w14:textId="7ED23D8E"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DF4C28">
        <w:rPr>
          <w:rFonts w:ascii="Arial" w:hAnsi="Arial" w:cs="Arial"/>
          <w:i/>
        </w:rPr>
        <w:t>this paper briefly analyses the granularity of TA+SVN is too fine and needless.</w:t>
      </w:r>
    </w:p>
    <w:p w14:paraId="43593185" w14:textId="77777777" w:rsidR="00387FDA" w:rsidRDefault="00F70227" w:rsidP="00AF4567">
      <w:pPr>
        <w:pStyle w:val="Heading1"/>
      </w:pPr>
      <w:r>
        <w:t>Discussion</w:t>
      </w:r>
    </w:p>
    <w:p w14:paraId="5DF3C4FC" w14:textId="7E9A82C1" w:rsidR="00DF4C28" w:rsidRDefault="00DF4C28" w:rsidP="00AF4567">
      <w:pPr>
        <w:rPr>
          <w:rFonts w:ascii="Arial" w:eastAsia="Times New Roman" w:hAnsi="Arial" w:cs="Arial"/>
          <w:noProof/>
          <w:color w:val="auto"/>
          <w:lang w:eastAsia="en-GB"/>
        </w:rPr>
      </w:pPr>
      <w:r>
        <w:t>Over the last quarter we have converged quite quickly to agreeing the format of the UE radio capability ID for the case of the UE manufacturer assigned UE Radio Capability ID</w:t>
      </w:r>
      <w:r w:rsidR="007E293A">
        <w:t>. This Would include a TAC+SVN</w:t>
      </w:r>
      <w:r>
        <w:t xml:space="preserve">. In CT4 this was </w:t>
      </w:r>
      <w:r w:rsidR="00757456">
        <w:t>further</w:t>
      </w:r>
      <w:r>
        <w:t xml:space="preserve"> discussed and the result was a CR in </w:t>
      </w:r>
      <w:hyperlink r:id="rId8" w:history="1">
        <w:r w:rsidRPr="00DF4C28">
          <w:rPr>
            <w:rStyle w:val="Hyperlink"/>
            <w:rFonts w:ascii="Arial" w:eastAsia="Times New Roman" w:hAnsi="Arial" w:cs="Arial"/>
            <w:noProof/>
            <w:lang w:eastAsia="en-GB"/>
          </w:rPr>
          <w:t>C4-193612</w:t>
        </w:r>
      </w:hyperlink>
      <w:r>
        <w:rPr>
          <w:rFonts w:ascii="Arial" w:eastAsia="Times New Roman" w:hAnsi="Arial" w:cs="Arial"/>
          <w:noProof/>
          <w:color w:val="auto"/>
          <w:lang w:eastAsia="en-GB"/>
        </w:rPr>
        <w:t>. In this CR also a PLMN assigned UE radio capability ID format that has granularity of TAC+SVN has been agreed, with TAC+SVN part of the format, alongside a ID format without TAC+SVN.</w:t>
      </w:r>
    </w:p>
    <w:p w14:paraId="4CB6AB6A" w14:textId="77777777" w:rsidR="00261BFC" w:rsidRDefault="00DF4C28" w:rsidP="00AF4567">
      <w:r>
        <w:t>The driver for the granularity was the assumption that a UE model may come to market with no support of UE manufacturer assigned UE radio</w:t>
      </w:r>
      <w:r w:rsidR="00261BFC">
        <w:t xml:space="preserve"> capability ID, and then the firmware may be upgraded to support them. As this happens, the a new SVN to such UEs would be assigned.</w:t>
      </w:r>
    </w:p>
    <w:p w14:paraId="79EE203C" w14:textId="482B856A" w:rsidR="00DF4C28" w:rsidRDefault="00261BFC" w:rsidP="00AF4567">
      <w:r>
        <w:t>However, this</w:t>
      </w:r>
      <w:r w:rsidR="004A182E">
        <w:t xml:space="preserve"> </w:t>
      </w:r>
      <w:r>
        <w:t>”nice to have” upgradability could only be beneficial in the very first few years of RACS deployment</w:t>
      </w:r>
      <w:r w:rsidR="00757456" w:rsidRPr="00757456">
        <w:rPr>
          <w:i/>
        </w:rPr>
        <w:t xml:space="preserve"> if UE vendors are yet unconvinced to support manufacturer assigned IDs and then change their mind</w:t>
      </w:r>
      <w:r w:rsidR="00757456">
        <w:rPr>
          <w:i/>
        </w:rPr>
        <w:t xml:space="preserve"> AND think they are so excited to want to roll these out to UEs already in the field.</w:t>
      </w:r>
      <w:r w:rsidR="007E293A">
        <w:t xml:space="preserve">, </w:t>
      </w:r>
      <w:r>
        <w:t>but have a l</w:t>
      </w:r>
      <w:r w:rsidRPr="00757456">
        <w:rPr>
          <w:b/>
        </w:rPr>
        <w:t>asting impact on the size of the dictionaries.</w:t>
      </w:r>
      <w:r w:rsidR="00757456">
        <w:t xml:space="preserve"> </w:t>
      </w:r>
    </w:p>
    <w:p w14:paraId="2BF204D1" w14:textId="05A22F32" w:rsidR="00261BFC" w:rsidRDefault="00261BFC" w:rsidP="00AF4567">
      <w:r>
        <w:t>To better understand this, the number of IDs required is proportional to the number of devices. A single TAC value can be used only for up to 1 M devices. So</w:t>
      </w:r>
      <w:r w:rsidR="007E293A">
        <w:t>,</w:t>
      </w:r>
      <w:r>
        <w:t xml:space="preserve"> a successful UE model could sell in the tens of millions of devices and require tens of TACS. The number of SVNs used by a U</w:t>
      </w:r>
      <w:r w:rsidR="007E293A">
        <w:t>E</w:t>
      </w:r>
      <w:r>
        <w:t xml:space="preserve"> vendor is not predictable as each vendor make use in a way that is not standardised, some may use none, some may use few units, other tens (the th</w:t>
      </w:r>
      <w:r w:rsidR="004A182E">
        <w:t>eoretical maximum being 99, as shown below in figure 1)</w:t>
      </w:r>
    </w:p>
    <w:p w14:paraId="0E47D5FB" w14:textId="74E8A884" w:rsidR="004A182E" w:rsidRDefault="004A182E" w:rsidP="00AF4567"/>
    <w:p w14:paraId="142ED9D0" w14:textId="77777777" w:rsidR="004A182E" w:rsidRPr="004A182E" w:rsidRDefault="004A182E" w:rsidP="004A182E">
      <w:pPr>
        <w:keepNext/>
        <w:keepLines/>
        <w:overflowPunct/>
        <w:autoSpaceDE/>
        <w:autoSpaceDN/>
        <w:adjustRightInd/>
        <w:spacing w:before="60"/>
        <w:jc w:val="center"/>
        <w:textAlignment w:val="auto"/>
        <w:rPr>
          <w:rFonts w:ascii="Arial" w:eastAsia="Times New Roman" w:hAnsi="Arial"/>
          <w:b/>
          <w:color w:val="auto"/>
          <w:lang w:eastAsia="en-US"/>
        </w:rPr>
      </w:pPr>
      <w:r w:rsidRPr="004A182E">
        <w:rPr>
          <w:rFonts w:ascii="Arial" w:eastAsia="Times New Roman" w:hAnsi="Arial"/>
          <w:b/>
          <w:color w:val="auto"/>
          <w:lang w:eastAsia="en-US"/>
        </w:rPr>
        <w:object w:dxaOrig="8718" w:dyaOrig="1908" w14:anchorId="5254A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95.25pt" o:ole="">
            <v:imagedata r:id="rId9" o:title=""/>
          </v:shape>
          <o:OLEObject Type="Embed" ProgID="Visio.Drawing.11" ShapeID="_x0000_i1025" DrawAspect="Content" ObjectID="_1631603431" r:id="rId10"/>
        </w:object>
      </w:r>
    </w:p>
    <w:p w14:paraId="1C95C1D9" w14:textId="2C82F67A" w:rsidR="004A182E" w:rsidRPr="004A182E" w:rsidRDefault="004A182E" w:rsidP="004A182E">
      <w:pPr>
        <w:jc w:val="center"/>
        <w:rPr>
          <w:b/>
        </w:rPr>
      </w:pPr>
      <w:r w:rsidRPr="004A182E">
        <w:rPr>
          <w:b/>
        </w:rPr>
        <w:t>Figure 1- IMEI format</w:t>
      </w:r>
    </w:p>
    <w:p w14:paraId="37368003" w14:textId="406484BD" w:rsidR="004A182E" w:rsidRDefault="004A182E" w:rsidP="00AF4567">
      <w:r>
        <w:t>So</w:t>
      </w:r>
      <w:r w:rsidR="00596A94">
        <w:t xml:space="preserve">, </w:t>
      </w:r>
      <w:r>
        <w:t xml:space="preserve">assuming a UE vendor uses </w:t>
      </w:r>
      <w:proofErr w:type="spellStart"/>
      <w:r>
        <w:t>e.g</w:t>
      </w:r>
      <w:proofErr w:type="spellEnd"/>
      <w:r>
        <w:t xml:space="preserve"> 10 SVNs and sells 10</w:t>
      </w:r>
      <w:r w:rsidR="00596A94">
        <w:t xml:space="preserve"> M </w:t>
      </w:r>
      <w:r w:rsidR="007E293A">
        <w:t>exemplars</w:t>
      </w:r>
      <w:r w:rsidR="00596A94">
        <w:t xml:space="preserve"> of a UE model, it will need at least 10 TACs, which means it will need 100 IDs per radio configuration. If such device model used with 5 ratio configurations, then just one UE model would require 500 IDs.</w:t>
      </w:r>
      <w:r w:rsidR="00757456">
        <w:t xml:space="preserve"> With a flat space for the vendor, the vendor could just allocate 5 IDs. </w:t>
      </w:r>
      <w:proofErr w:type="gramStart"/>
      <w:r w:rsidR="00757456">
        <w:t>So</w:t>
      </w:r>
      <w:proofErr w:type="gramEnd"/>
      <w:r w:rsidR="00757456">
        <w:t xml:space="preserve"> we have needlessly used two orders of magnitude more IDs if the UE comes to market from day one with these IDs.</w:t>
      </w:r>
    </w:p>
    <w:p w14:paraId="57BA51AE" w14:textId="0124A2E9" w:rsidR="007E293A" w:rsidRDefault="00596A94" w:rsidP="00AF4567">
      <w:r>
        <w:t xml:space="preserve">The situation is </w:t>
      </w:r>
      <w:r w:rsidR="00757456">
        <w:t>far</w:t>
      </w:r>
      <w:r>
        <w:t xml:space="preserve"> worse if the format including TAC+SVN was used for PLMN assigned IDs: if the PLMN uses only PLMN-</w:t>
      </w:r>
      <w:r w:rsidR="007E293A">
        <w:t>wide</w:t>
      </w:r>
      <w:r>
        <w:t xml:space="preserve"> filtering, then the upper bound of the number of PLMN assigned IDs would be the same as the one for Manufacturer assigned IDs. However, if the PLMN did not centrally coordinate the filtering in the RAN, a potentially large number of filters could be used in the RAN nodes the operator deploys. This can reach quite large numbers especially as now lots of various small cell ki</w:t>
      </w:r>
      <w:r w:rsidR="00757456">
        <w:t>n</w:t>
      </w:r>
      <w:r>
        <w:t>ds could be deployed. If for instance 10 different U</w:t>
      </w:r>
      <w:r w:rsidR="00757456">
        <w:t>E</w:t>
      </w:r>
      <w:r>
        <w:t xml:space="preserve"> radio capability filters were used in a PLMN RAN, this UE model could be getting then up to 5000 PLMN assigned IDs. Note: each UE model in a PLMN </w:t>
      </w:r>
      <w:r w:rsidR="00BB1542">
        <w:t xml:space="preserve">with non-coordinated filtering </w:t>
      </w:r>
      <w:r>
        <w:t xml:space="preserve">may end up with receiving 10 IDs for each radio configuration, so up </w:t>
      </w:r>
      <w:r>
        <w:lastRenderedPageBreak/>
        <w:t>to 50 IDs just in one PLMN. Clearly this shows that the benefit of RACS with PLMN assigned IDs would be undermined and the size of the databased for each UE model would be substantial (and the bigger the number of potential IDs in the system, the most likely it is that cache misses in RAN and CN are more frequent is the need for resolution</w:t>
      </w:r>
      <w:r w:rsidR="00757456">
        <w:t xml:space="preserve"> of the ID</w:t>
      </w:r>
      <w:r>
        <w:t xml:space="preserve"> o</w:t>
      </w:r>
      <w:r w:rsidR="00757456">
        <w:t>r</w:t>
      </w:r>
      <w:r>
        <w:t xml:space="preserve"> fetch of Radio capabilities from the UE over the radio.</w:t>
      </w:r>
    </w:p>
    <w:p w14:paraId="1EA78AED" w14:textId="1DDEF1BE" w:rsidR="001E61CC" w:rsidRDefault="00596A94" w:rsidP="00AF4567">
      <w:r>
        <w:t xml:space="preserve">Assuming we used a format of PLMN assigned IDs without TAC+SVN in the </w:t>
      </w:r>
      <w:r w:rsidR="003464A4">
        <w:t>format</w:t>
      </w:r>
      <w:r>
        <w:t>, then</w:t>
      </w:r>
      <w:r w:rsidR="00A14FBA">
        <w:t xml:space="preserve"> for a single U</w:t>
      </w:r>
      <w:r w:rsidR="001E61CC">
        <w:t>E</w:t>
      </w:r>
      <w:r w:rsidR="00A14FBA">
        <w:t xml:space="preserve"> we would have just </w:t>
      </w:r>
      <w:r w:rsidR="001E61CC">
        <w:t>as many IDs as the number of radio configurations, times the filters used in a PLMN.</w:t>
      </w:r>
      <w:r w:rsidR="007E293A">
        <w:t xml:space="preserve"> </w:t>
      </w:r>
      <w:r w:rsidR="001E61CC">
        <w:t>So</w:t>
      </w:r>
      <w:r w:rsidR="007E293A">
        <w:t>,</w:t>
      </w:r>
      <w:r w:rsidR="001E61CC">
        <w:t xml:space="preserve"> we normally </w:t>
      </w:r>
      <w:r w:rsidR="007E293A">
        <w:t>co</w:t>
      </w:r>
      <w:r w:rsidR="001E61CC">
        <w:t>ul</w:t>
      </w:r>
      <w:r w:rsidR="007E293A">
        <w:t>d</w:t>
      </w:r>
      <w:r w:rsidR="001E61CC">
        <w:t xml:space="preserve"> have a databased two orders of magnitude smaller, so it would be a saving of at least 99% of the costs of memory HW real estate occupied by the feature. We say at least here</w:t>
      </w:r>
      <w:r w:rsidR="007E293A">
        <w:t>,</w:t>
      </w:r>
      <w:r w:rsidR="001E61CC">
        <w:t xml:space="preserve"> as it is in principle possible to share the IDs across vendors and so the same IDs could be shared for many devices if e.g. the Chipset/reference design they use is the same. In that case the real estate occupied would be potentially several orders of magnitude smaller.</w:t>
      </w:r>
    </w:p>
    <w:p w14:paraId="1F35D8A9" w14:textId="3D0376FD" w:rsidR="001E61CC" w:rsidRPr="001E61CC" w:rsidRDefault="001E61CC" w:rsidP="00AF4567">
      <w:pPr>
        <w:rPr>
          <w:b/>
        </w:rPr>
      </w:pPr>
      <w:r w:rsidRPr="001E61CC">
        <w:rPr>
          <w:b/>
        </w:rPr>
        <w:t xml:space="preserve">Proposal: </w:t>
      </w:r>
      <w:r w:rsidR="00AB69E4">
        <w:rPr>
          <w:b/>
        </w:rPr>
        <w:t>it is</w:t>
      </w:r>
      <w:r w:rsidR="00121F23">
        <w:rPr>
          <w:b/>
        </w:rPr>
        <w:t xml:space="preserve"> not</w:t>
      </w:r>
      <w:r w:rsidR="00AB69E4">
        <w:rPr>
          <w:b/>
        </w:rPr>
        <w:t xml:space="preserve"> needed, </w:t>
      </w:r>
      <w:r w:rsidRPr="001E61CC">
        <w:rPr>
          <w:b/>
        </w:rPr>
        <w:t xml:space="preserve">to use the TAC and SVN in the </w:t>
      </w:r>
      <w:r w:rsidR="00AB69E4">
        <w:rPr>
          <w:b/>
        </w:rPr>
        <w:t xml:space="preserve">PLMN-assigned </w:t>
      </w:r>
      <w:r w:rsidRPr="001E61CC">
        <w:rPr>
          <w:b/>
        </w:rPr>
        <w:t>UE radio capability format</w:t>
      </w:r>
      <w:r w:rsidR="007E293A">
        <w:rPr>
          <w:b/>
        </w:rPr>
        <w:t>. T</w:t>
      </w:r>
      <w:r w:rsidR="00AB69E4">
        <w:rPr>
          <w:b/>
        </w:rPr>
        <w:t>he UCMF can keep the association to TAC separately in networks where the transition to Manufacturer assigned ID is enabled</w:t>
      </w:r>
      <w:r w:rsidR="00757456">
        <w:rPr>
          <w:b/>
        </w:rPr>
        <w:t xml:space="preserve"> per TAC (see Annex 2)</w:t>
      </w:r>
    </w:p>
    <w:p w14:paraId="42FE16E0" w14:textId="15DC17B8" w:rsidR="001E61CC" w:rsidRDefault="001E61CC" w:rsidP="00AF4567">
      <w:r>
        <w:t xml:space="preserve">For the case of UE </w:t>
      </w:r>
      <w:r w:rsidR="00AB69E4">
        <w:t>Manufacturer assigned ID,</w:t>
      </w:r>
      <w:r w:rsidR="00757456">
        <w:t xml:space="preserve"> as already stated above,</w:t>
      </w:r>
      <w:r w:rsidR="00AB69E4">
        <w:t xml:space="preserve"> there seems to be no advantage to have one ID set per TAC+SV, nor one I</w:t>
      </w:r>
      <w:r w:rsidR="007E293A">
        <w:t xml:space="preserve">D </w:t>
      </w:r>
      <w:r w:rsidR="00AB69E4">
        <w:t xml:space="preserve">set per TAC. Indeed, it is preferable to just use a flat ID space per manufacturer. This will dramatically reduce the number of IDs per UE model to just the number of UE radio configurations supported. In the example above, this </w:t>
      </w:r>
      <w:r w:rsidR="00262262">
        <w:t>would</w:t>
      </w:r>
      <w:r w:rsidR="00AB69E4">
        <w:t xml:space="preserve"> be reducing the number of IDs from 500 to 5. So</w:t>
      </w:r>
      <w:r w:rsidR="00262262">
        <w:t>,</w:t>
      </w:r>
      <w:r w:rsidR="00AB69E4">
        <w:t xml:space="preserve"> it is 99% gain</w:t>
      </w:r>
      <w:r w:rsidR="00262262">
        <w:t xml:space="preserve"> in this example. In other examples it could be more</w:t>
      </w:r>
      <w:r w:rsidR="00757456">
        <w:t xml:space="preserve"> if </w:t>
      </w:r>
      <w:proofErr w:type="gramStart"/>
      <w:r w:rsidR="00757456">
        <w:t>a number of</w:t>
      </w:r>
      <w:proofErr w:type="gramEnd"/>
      <w:r w:rsidR="00757456">
        <w:t xml:space="preserve"> U</w:t>
      </w:r>
      <w:r w:rsidR="00EB2434">
        <w:t>E</w:t>
      </w:r>
      <w:r w:rsidR="00757456">
        <w:t xml:space="preserve"> models use the same </w:t>
      </w:r>
      <w:r w:rsidR="00EB2434">
        <w:t>chipset/reference design</w:t>
      </w:r>
      <w:r w:rsidR="00262262">
        <w:t>!</w:t>
      </w:r>
    </w:p>
    <w:p w14:paraId="741E40F1" w14:textId="69295614" w:rsidR="00AB69E4" w:rsidRDefault="00AB69E4" w:rsidP="00AF4567">
      <w:pPr>
        <w:rPr>
          <w:b/>
        </w:rPr>
      </w:pPr>
      <w:bookmarkStart w:id="1" w:name="_Hlk20987066"/>
      <w:r w:rsidRPr="00121F23">
        <w:rPr>
          <w:b/>
        </w:rPr>
        <w:t>Proposal</w:t>
      </w:r>
      <w:r w:rsidR="00121F23" w:rsidRPr="00121F23">
        <w:rPr>
          <w:b/>
        </w:rPr>
        <w:t xml:space="preserve"> </w:t>
      </w:r>
      <w:r w:rsidR="00121F23">
        <w:rPr>
          <w:b/>
        </w:rPr>
        <w:t>2</w:t>
      </w:r>
      <w:r w:rsidRPr="00121F23">
        <w:rPr>
          <w:b/>
        </w:rPr>
        <w:t>: it is proposed that instead of using a TAC+SV, a vendor ID is used. This vendor I</w:t>
      </w:r>
      <w:r w:rsidR="00121F23">
        <w:rPr>
          <w:b/>
        </w:rPr>
        <w:t>D</w:t>
      </w:r>
      <w:r w:rsidRPr="00121F23">
        <w:rPr>
          <w:b/>
        </w:rPr>
        <w:t xml:space="preserve"> could be administered by GSMA</w:t>
      </w:r>
      <w:r w:rsidR="00121F23">
        <w:rPr>
          <w:b/>
        </w:rPr>
        <w:t>,</w:t>
      </w:r>
      <w:r w:rsidRPr="00121F23">
        <w:rPr>
          <w:b/>
        </w:rPr>
        <w:t xml:space="preserve"> like the TACs are.</w:t>
      </w:r>
      <w:r w:rsidR="001767FF">
        <w:rPr>
          <w:b/>
        </w:rPr>
        <w:t xml:space="preserve"> One vendor could apply for one or more vendor IDs as needed.</w:t>
      </w:r>
    </w:p>
    <w:bookmarkEnd w:id="1"/>
    <w:p w14:paraId="6B90E71D" w14:textId="61279F99" w:rsidR="007E293A" w:rsidRDefault="007E293A" w:rsidP="00AF4567">
      <w:r w:rsidRPr="007E293A">
        <w:t>To reiterate, the current</w:t>
      </w:r>
      <w:r>
        <w:t xml:space="preserve"> only benefit for inclusion of TAC+SV is the ability to selectively upgrade UEs to support Manufacturer assigned ID, that come to market with no such support.</w:t>
      </w:r>
      <w:r w:rsidR="008679C3">
        <w:t xml:space="preserve"> This can only be a feature that is useful in the first year of adoption of this by the UE vendor</w:t>
      </w:r>
      <w:r w:rsidR="001767FF">
        <w:t xml:space="preserve"> as it is assumed that after a while the vendor will always support manufacturer assigned IDs once they are starting to support these with one initial UE model.</w:t>
      </w:r>
    </w:p>
    <w:p w14:paraId="4822949C" w14:textId="278F450F" w:rsidR="001767FF" w:rsidRDefault="001767FF" w:rsidP="00AF4567">
      <w:r>
        <w:t>The format of the ID would then change from:</w:t>
      </w:r>
    </w:p>
    <w:p w14:paraId="292B2FCA" w14:textId="0C879A9E" w:rsidR="001767FF" w:rsidRPr="001767FF" w:rsidRDefault="001767FF" w:rsidP="00AF4567">
      <w:pPr>
        <w:rPr>
          <w:b/>
        </w:rPr>
      </w:pPr>
      <w:r>
        <w:rPr>
          <w:b/>
        </w:rPr>
        <w:t>{</w:t>
      </w:r>
      <w:r w:rsidRPr="001767FF">
        <w:rPr>
          <w:b/>
        </w:rPr>
        <w:t>[TAC][SVN</w:t>
      </w:r>
      <w:proofErr w:type="gramStart"/>
      <w:r w:rsidRPr="001767FF">
        <w:rPr>
          <w:b/>
        </w:rPr>
        <w:t>][</w:t>
      </w:r>
      <w:proofErr w:type="gramEnd"/>
      <w:r w:rsidRPr="001767FF">
        <w:rPr>
          <w:b/>
        </w:rPr>
        <w:t>Identifier of capabilities assigned per TAC+SVN]</w:t>
      </w:r>
      <w:r>
        <w:rPr>
          <w:b/>
        </w:rPr>
        <w:t>}</w:t>
      </w:r>
    </w:p>
    <w:p w14:paraId="20FFFC1B" w14:textId="724C9DBE" w:rsidR="001767FF" w:rsidRDefault="001767FF" w:rsidP="00AF4567">
      <w:r>
        <w:t xml:space="preserve">To </w:t>
      </w:r>
    </w:p>
    <w:p w14:paraId="36418942" w14:textId="49435E30" w:rsidR="001767FF" w:rsidRPr="001767FF" w:rsidRDefault="001767FF" w:rsidP="00AF4567">
      <w:pPr>
        <w:rPr>
          <w:b/>
        </w:rPr>
      </w:pPr>
      <w:r w:rsidRPr="001767FF">
        <w:rPr>
          <w:b/>
        </w:rPr>
        <w:t>{</w:t>
      </w:r>
      <w:r>
        <w:rPr>
          <w:b/>
        </w:rPr>
        <w:t>[</w:t>
      </w:r>
      <w:r w:rsidRPr="001767FF">
        <w:rPr>
          <w:b/>
        </w:rPr>
        <w:t>Vendor ID][Identifier of capabilities assigned per vendor ID]</w:t>
      </w:r>
      <w:r>
        <w:rPr>
          <w:b/>
        </w:rPr>
        <w:t>}</w:t>
      </w:r>
    </w:p>
    <w:p w14:paraId="0BA4F097" w14:textId="614A5DF1" w:rsidR="008679C3" w:rsidRDefault="00EB2434" w:rsidP="00AF4567">
      <w:r>
        <w:t>Annex 1</w:t>
      </w:r>
      <w:r w:rsidR="008679C3">
        <w:t xml:space="preserve"> also provides some additional information on the negative effects of the current assumption on the format of the UE radio Capability ID</w:t>
      </w:r>
    </w:p>
    <w:p w14:paraId="7B479E48" w14:textId="05C1C096" w:rsidR="004A182E" w:rsidRDefault="004A182E" w:rsidP="00AF4567"/>
    <w:p w14:paraId="309CE6C9" w14:textId="1C445CF1" w:rsidR="00F31924" w:rsidRDefault="00F31924" w:rsidP="00F31924">
      <w:pPr>
        <w:pStyle w:val="Heading1"/>
      </w:pPr>
      <w:r>
        <w:t>Propos</w:t>
      </w:r>
      <w:r w:rsidR="001A0078">
        <w:t>al</w:t>
      </w:r>
    </w:p>
    <w:p w14:paraId="05AE524F" w14:textId="0F10D1CD" w:rsidR="001A0078" w:rsidRDefault="00AB69E4" w:rsidP="001A0078">
      <w:r>
        <w:t xml:space="preserve">It is proposed that the format of the IDs is reconsidered and that </w:t>
      </w:r>
      <w:r w:rsidR="00121F23">
        <w:t>the proposals 1 and 2 are agreed.</w:t>
      </w:r>
    </w:p>
    <w:p w14:paraId="1F14D9CC" w14:textId="23D22030" w:rsidR="001A0078" w:rsidRDefault="001A0078" w:rsidP="001A0078"/>
    <w:p w14:paraId="4F299552" w14:textId="706FED68" w:rsidR="001A0078" w:rsidRDefault="008679C3" w:rsidP="008679C3">
      <w:pPr>
        <w:pStyle w:val="Heading1"/>
      </w:pPr>
      <w:r>
        <w:t>Annex</w:t>
      </w:r>
      <w:proofErr w:type="gramStart"/>
      <w:r w:rsidR="00EB2434">
        <w:t xml:space="preserve">1 </w:t>
      </w:r>
      <w:r>
        <w:t>:</w:t>
      </w:r>
      <w:proofErr w:type="gramEnd"/>
      <w:r>
        <w:t xml:space="preserve"> Expected yearly expansion of PLMN assigned IDs</w:t>
      </w:r>
    </w:p>
    <w:p w14:paraId="63AC0362" w14:textId="77777777" w:rsidR="008679C3" w:rsidRPr="008679C3" w:rsidRDefault="008679C3" w:rsidP="008679C3">
      <w:pPr>
        <w:numPr>
          <w:ilvl w:val="0"/>
          <w:numId w:val="35"/>
        </w:numPr>
        <w:tabs>
          <w:tab w:val="clear" w:pos="720"/>
          <w:tab w:val="num" w:pos="0"/>
        </w:tabs>
        <w:overflowPunct/>
        <w:autoSpaceDE/>
        <w:autoSpaceDN/>
        <w:adjustRightInd/>
        <w:spacing w:after="0" w:line="216" w:lineRule="auto"/>
        <w:ind w:left="36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eastAsia="en-GB"/>
        </w:rPr>
        <w:t xml:space="preserve">Assumption: </w:t>
      </w:r>
    </w:p>
    <w:p w14:paraId="590AB652" w14:textId="77777777" w:rsidR="008679C3" w:rsidRPr="008679C3" w:rsidRDefault="008679C3" w:rsidP="008679C3">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eastAsia="en-GB"/>
        </w:rPr>
        <w:t>Let R be the # of radio configurations of a TAC+SV related UE model</w:t>
      </w:r>
    </w:p>
    <w:p w14:paraId="0B013AF7" w14:textId="77777777" w:rsidR="008679C3" w:rsidRPr="008679C3" w:rsidRDefault="008679C3" w:rsidP="008679C3">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eastAsia="en-GB"/>
        </w:rPr>
        <w:t xml:space="preserve">Let </w:t>
      </w:r>
      <w:proofErr w:type="spellStart"/>
      <w:r w:rsidRPr="008679C3">
        <w:rPr>
          <w:rFonts w:ascii="Calibri" w:eastAsia="Times New Roman" w:hAnsi="Calibri"/>
          <w:kern w:val="24"/>
          <w:sz w:val="24"/>
          <w:szCs w:val="24"/>
          <w:lang w:eastAsia="en-GB"/>
        </w:rPr>
        <w:t>S</w:t>
      </w:r>
      <w:proofErr w:type="spellEnd"/>
      <w:r w:rsidRPr="008679C3">
        <w:rPr>
          <w:rFonts w:ascii="Calibri" w:eastAsia="Times New Roman" w:hAnsi="Calibri"/>
          <w:kern w:val="24"/>
          <w:sz w:val="24"/>
          <w:szCs w:val="24"/>
          <w:lang w:eastAsia="en-GB"/>
        </w:rPr>
        <w:t xml:space="preserve"> be the # of SVs for the TAC.</w:t>
      </w:r>
    </w:p>
    <w:p w14:paraId="493FBAAB" w14:textId="77777777" w:rsidR="008679C3" w:rsidRPr="008679C3" w:rsidRDefault="008679C3" w:rsidP="008679C3">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eastAsia="en-GB"/>
        </w:rPr>
        <w:t>Let F be the # of radio capability filters used in the RAN of a PLMN</w:t>
      </w:r>
    </w:p>
    <w:p w14:paraId="2CE92104" w14:textId="5FA6C2B1" w:rsidR="008679C3" w:rsidRPr="008679C3" w:rsidRDefault="008679C3" w:rsidP="008679C3">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eastAsia="en-GB"/>
        </w:rPr>
        <w:t>The worst-case number of IDs for a single TAC in a PLMN is R*S*F</w:t>
      </w:r>
    </w:p>
    <w:p w14:paraId="06A469B4" w14:textId="77777777" w:rsidR="008679C3" w:rsidRPr="008679C3" w:rsidRDefault="008679C3" w:rsidP="008679C3">
      <w:pPr>
        <w:numPr>
          <w:ilvl w:val="0"/>
          <w:numId w:val="35"/>
        </w:numPr>
        <w:tabs>
          <w:tab w:val="clear" w:pos="720"/>
          <w:tab w:val="num" w:pos="0"/>
        </w:tabs>
        <w:overflowPunct/>
        <w:autoSpaceDE/>
        <w:autoSpaceDN/>
        <w:adjustRightInd/>
        <w:spacing w:after="0" w:line="216" w:lineRule="auto"/>
        <w:ind w:left="36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eastAsia="en-GB"/>
        </w:rPr>
        <w:t>How many TAC values are needed in an average year?</w:t>
      </w:r>
    </w:p>
    <w:p w14:paraId="6C77CA4C" w14:textId="2A3B800D" w:rsidR="008679C3" w:rsidRPr="008679C3" w:rsidRDefault="008679C3" w:rsidP="008679C3">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val="en-US" w:eastAsia="en-GB"/>
        </w:rPr>
        <w:t xml:space="preserve">In 2018, </w:t>
      </w:r>
      <w:r w:rsidRPr="008679C3">
        <w:rPr>
          <w:rFonts w:ascii="Calibri" w:eastAsia="Times New Roman" w:hAnsi="Calibri"/>
          <w:kern w:val="24"/>
          <w:sz w:val="24"/>
          <w:szCs w:val="24"/>
          <w:highlight w:val="yellow"/>
          <w:lang w:val="en-US" w:eastAsia="en-GB"/>
        </w:rPr>
        <w:t>around 1.56 billion smartphones were sold worldwide</w:t>
      </w:r>
      <w:r w:rsidRPr="008679C3">
        <w:rPr>
          <w:rFonts w:ascii="Calibri" w:eastAsia="Times New Roman" w:hAnsi="Calibri"/>
          <w:kern w:val="24"/>
          <w:sz w:val="24"/>
          <w:szCs w:val="24"/>
          <w:lang w:val="en-US" w:eastAsia="en-GB"/>
        </w:rPr>
        <w:t xml:space="preserve">. </w:t>
      </w:r>
      <w:r w:rsidR="002A0B33">
        <w:rPr>
          <w:rFonts w:ascii="Calibri" w:eastAsia="Times New Roman" w:hAnsi="Calibri"/>
          <w:kern w:val="24"/>
          <w:sz w:val="24"/>
          <w:szCs w:val="24"/>
          <w:lang w:val="en-US" w:eastAsia="en-GB"/>
        </w:rPr>
        <w:t xml:space="preserve">This number is going to become bigger </w:t>
      </w:r>
      <w:proofErr w:type="spellStart"/>
      <w:proofErr w:type="gramStart"/>
      <w:r w:rsidR="002A0B33">
        <w:rPr>
          <w:rFonts w:ascii="Calibri" w:eastAsia="Times New Roman" w:hAnsi="Calibri"/>
          <w:kern w:val="24"/>
          <w:sz w:val="24"/>
          <w:szCs w:val="24"/>
          <w:lang w:val="en-US" w:eastAsia="en-GB"/>
        </w:rPr>
        <w:t>an</w:t>
      </w:r>
      <w:proofErr w:type="spellEnd"/>
      <w:proofErr w:type="gramEnd"/>
      <w:r w:rsidR="002A0B33">
        <w:rPr>
          <w:rFonts w:ascii="Calibri" w:eastAsia="Times New Roman" w:hAnsi="Calibri"/>
          <w:kern w:val="24"/>
          <w:sz w:val="24"/>
          <w:szCs w:val="24"/>
          <w:lang w:val="en-US" w:eastAsia="en-GB"/>
        </w:rPr>
        <w:t xml:space="preserve"> bigger over time.</w:t>
      </w:r>
    </w:p>
    <w:p w14:paraId="4A98B062" w14:textId="636E0F67" w:rsidR="008679C3" w:rsidRPr="008679C3" w:rsidRDefault="008679C3" w:rsidP="008679C3">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val="en-US" w:eastAsia="en-GB"/>
        </w:rPr>
        <w:t xml:space="preserve">So in </w:t>
      </w:r>
      <w:r w:rsidR="002A0B33">
        <w:rPr>
          <w:rFonts w:ascii="Calibri" w:eastAsia="Times New Roman" w:hAnsi="Calibri"/>
          <w:kern w:val="24"/>
          <w:sz w:val="24"/>
          <w:szCs w:val="24"/>
          <w:lang w:val="en-US" w:eastAsia="en-GB"/>
        </w:rPr>
        <w:t xml:space="preserve">that </w:t>
      </w:r>
      <w:r w:rsidRPr="008679C3">
        <w:rPr>
          <w:rFonts w:ascii="Calibri" w:eastAsia="Times New Roman" w:hAnsi="Calibri"/>
          <w:kern w:val="24"/>
          <w:sz w:val="24"/>
          <w:szCs w:val="24"/>
          <w:lang w:val="en-US" w:eastAsia="en-GB"/>
        </w:rPr>
        <w:t xml:space="preserve">year we </w:t>
      </w:r>
      <w:proofErr w:type="gramStart"/>
      <w:r w:rsidRPr="008679C3">
        <w:rPr>
          <w:rFonts w:ascii="Calibri" w:eastAsia="Times New Roman" w:hAnsi="Calibri"/>
          <w:kern w:val="24"/>
          <w:sz w:val="24"/>
          <w:szCs w:val="24"/>
          <w:lang w:val="en-US" w:eastAsia="en-GB"/>
        </w:rPr>
        <w:t xml:space="preserve">typically </w:t>
      </w:r>
      <w:r w:rsidR="002A0B33">
        <w:rPr>
          <w:rFonts w:ascii="Calibri" w:eastAsia="Times New Roman" w:hAnsi="Calibri"/>
          <w:kern w:val="24"/>
          <w:sz w:val="24"/>
          <w:szCs w:val="24"/>
          <w:lang w:val="en-US" w:eastAsia="en-GB"/>
        </w:rPr>
        <w:t xml:space="preserve"> would</w:t>
      </w:r>
      <w:proofErr w:type="gramEnd"/>
      <w:r w:rsidR="002A0B33">
        <w:rPr>
          <w:rFonts w:ascii="Calibri" w:eastAsia="Times New Roman" w:hAnsi="Calibri"/>
          <w:kern w:val="24"/>
          <w:sz w:val="24"/>
          <w:szCs w:val="24"/>
          <w:lang w:val="en-US" w:eastAsia="en-GB"/>
        </w:rPr>
        <w:t xml:space="preserve"> have needed</w:t>
      </w:r>
      <w:r w:rsidRPr="008679C3">
        <w:rPr>
          <w:rFonts w:ascii="Calibri" w:eastAsia="Times New Roman" w:hAnsi="Calibri"/>
          <w:kern w:val="24"/>
          <w:sz w:val="24"/>
          <w:szCs w:val="24"/>
          <w:lang w:val="en-US" w:eastAsia="en-GB"/>
        </w:rPr>
        <w:t xml:space="preserve"> certainly more than 1560 TACs (since the space of UE TACs is quite fragmented AND TACs are not assigned only to smartphones!) </w:t>
      </w:r>
    </w:p>
    <w:p w14:paraId="5EB3734B" w14:textId="636FB815" w:rsidR="008679C3" w:rsidRPr="008679C3" w:rsidRDefault="008679C3" w:rsidP="008679C3">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8679C3">
        <w:rPr>
          <w:rFonts w:ascii="Calibri" w:eastAsia="Times New Roman" w:hAnsi="Calibri"/>
          <w:kern w:val="24"/>
          <w:sz w:val="24"/>
          <w:szCs w:val="24"/>
          <w:lang w:val="en-US" w:eastAsia="en-GB"/>
        </w:rPr>
        <w:lastRenderedPageBreak/>
        <w:t xml:space="preserve">it is conceivable that </w:t>
      </w:r>
      <w:proofErr w:type="gramStart"/>
      <w:r w:rsidRPr="008679C3">
        <w:rPr>
          <w:rFonts w:ascii="Calibri" w:eastAsia="Times New Roman" w:hAnsi="Calibri"/>
          <w:kern w:val="24"/>
          <w:sz w:val="24"/>
          <w:szCs w:val="24"/>
          <w:lang w:eastAsia="en-GB"/>
        </w:rPr>
        <w:t>in reality each</w:t>
      </w:r>
      <w:proofErr w:type="gramEnd"/>
      <w:r w:rsidRPr="008679C3">
        <w:rPr>
          <w:rFonts w:ascii="Calibri" w:eastAsia="Times New Roman" w:hAnsi="Calibri"/>
          <w:kern w:val="24"/>
          <w:sz w:val="24"/>
          <w:szCs w:val="24"/>
          <w:lang w:eastAsia="en-GB"/>
        </w:rPr>
        <w:t xml:space="preserve"> year</w:t>
      </w:r>
      <w:r w:rsidR="002A0B33">
        <w:rPr>
          <w:rFonts w:ascii="Calibri" w:eastAsia="Times New Roman" w:hAnsi="Calibri"/>
          <w:kern w:val="24"/>
          <w:sz w:val="24"/>
          <w:szCs w:val="24"/>
          <w:lang w:eastAsia="en-GB"/>
        </w:rPr>
        <w:t xml:space="preserve"> in the future</w:t>
      </w:r>
      <w:r w:rsidRPr="008679C3">
        <w:rPr>
          <w:rFonts w:ascii="Calibri" w:eastAsia="Times New Roman" w:hAnsi="Calibri"/>
          <w:kern w:val="24"/>
          <w:sz w:val="24"/>
          <w:szCs w:val="24"/>
          <w:lang w:eastAsia="en-GB"/>
        </w:rPr>
        <w:t xml:space="preserve"> some tens of thousands of TACs could be needed as there are models that do not manage to sell anywhere near a million for each TAC (</w:t>
      </w:r>
      <w:r w:rsidR="002A0B33">
        <w:rPr>
          <w:rFonts w:ascii="Calibri" w:eastAsia="Times New Roman" w:hAnsi="Calibri"/>
          <w:kern w:val="24"/>
          <w:sz w:val="24"/>
          <w:szCs w:val="24"/>
          <w:lang w:eastAsia="en-GB"/>
        </w:rPr>
        <w:t>a T</w:t>
      </w:r>
      <w:r w:rsidRPr="008679C3">
        <w:rPr>
          <w:rFonts w:ascii="Calibri" w:eastAsia="Times New Roman" w:hAnsi="Calibri"/>
          <w:kern w:val="24"/>
          <w:sz w:val="24"/>
          <w:szCs w:val="24"/>
          <w:lang w:eastAsia="en-GB"/>
        </w:rPr>
        <w:t>AC can be used for up to 1 M devices).</w:t>
      </w:r>
    </w:p>
    <w:p w14:paraId="64BAE531" w14:textId="1E22A933" w:rsidR="008679C3" w:rsidRPr="008679C3" w:rsidRDefault="008679C3" w:rsidP="008679C3">
      <w:pPr>
        <w:numPr>
          <w:ilvl w:val="2"/>
          <w:numId w:val="35"/>
        </w:numPr>
        <w:overflowPunct/>
        <w:autoSpaceDE/>
        <w:autoSpaceDN/>
        <w:adjustRightInd/>
        <w:spacing w:after="0" w:line="216" w:lineRule="auto"/>
        <w:contextualSpacing/>
        <w:textAlignment w:val="auto"/>
        <w:rPr>
          <w:rFonts w:eastAsia="Times New Roman"/>
          <w:color w:val="auto"/>
          <w:sz w:val="24"/>
          <w:szCs w:val="24"/>
          <w:lang w:eastAsia="en-GB"/>
        </w:rPr>
      </w:pPr>
      <w:r>
        <w:rPr>
          <w:rFonts w:eastAsia="Times New Roman"/>
          <w:color w:val="auto"/>
          <w:sz w:val="24"/>
          <w:szCs w:val="24"/>
          <w:lang w:eastAsia="en-GB"/>
        </w:rPr>
        <w:t>New classes of devices like IoT</w:t>
      </w:r>
      <w:r w:rsidR="002A0B33">
        <w:rPr>
          <w:rFonts w:eastAsia="Times New Roman"/>
          <w:color w:val="auto"/>
          <w:sz w:val="24"/>
          <w:szCs w:val="24"/>
          <w:lang w:eastAsia="en-GB"/>
        </w:rPr>
        <w:t xml:space="preserve">, </w:t>
      </w:r>
      <w:r>
        <w:rPr>
          <w:rFonts w:eastAsia="Times New Roman"/>
          <w:color w:val="auto"/>
          <w:sz w:val="24"/>
          <w:szCs w:val="24"/>
          <w:lang w:eastAsia="en-GB"/>
        </w:rPr>
        <w:t>tablets or computing devices with 5G radio, or cars, are also going to make this worse and worse!</w:t>
      </w:r>
    </w:p>
    <w:p w14:paraId="1D29041A" w14:textId="77777777" w:rsidR="002A0B33" w:rsidRPr="002A0B33" w:rsidRDefault="008679C3" w:rsidP="00EA322E">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2A0B33">
        <w:rPr>
          <w:rFonts w:ascii="Calibri" w:eastAsia="Times New Roman" w:hAnsi="Calibri"/>
          <w:kern w:val="24"/>
          <w:sz w:val="24"/>
          <w:szCs w:val="24"/>
          <w:lang w:eastAsia="en-GB"/>
        </w:rPr>
        <w:t xml:space="preserve">So, assuming just 10000 new TACs per year are coming to a typical PLMN, if each UE can have up to 5 radio configurations, and each TAC on average uses 10 SV (to be quite optimistic), we have about 500K new IDs </w:t>
      </w:r>
      <w:r w:rsidRPr="002A0B33">
        <w:rPr>
          <w:rFonts w:ascii="Calibri" w:eastAsia="Times New Roman" w:hAnsi="Calibri"/>
          <w:bCs/>
          <w:kern w:val="24"/>
          <w:sz w:val="24"/>
          <w:szCs w:val="24"/>
          <w:lang w:eastAsia="en-GB"/>
        </w:rPr>
        <w:t xml:space="preserve">per year. </w:t>
      </w:r>
      <w:proofErr w:type="gramStart"/>
      <w:r w:rsidRPr="002A0B33">
        <w:rPr>
          <w:rFonts w:ascii="Calibri" w:eastAsia="Times New Roman" w:hAnsi="Calibri"/>
          <w:bCs/>
          <w:kern w:val="24"/>
          <w:sz w:val="24"/>
          <w:szCs w:val="24"/>
          <w:lang w:eastAsia="en-GB"/>
        </w:rPr>
        <w:t>In reality we</w:t>
      </w:r>
      <w:proofErr w:type="gramEnd"/>
      <w:r w:rsidRPr="002A0B33">
        <w:rPr>
          <w:rFonts w:ascii="Calibri" w:eastAsia="Times New Roman" w:hAnsi="Calibri"/>
          <w:bCs/>
          <w:kern w:val="24"/>
          <w:sz w:val="24"/>
          <w:szCs w:val="24"/>
          <w:lang w:eastAsia="en-GB"/>
        </w:rPr>
        <w:t xml:space="preserve"> suspect the average number of SVs can be MUCH larger. </w:t>
      </w:r>
    </w:p>
    <w:p w14:paraId="2F286890" w14:textId="47FA830E" w:rsidR="008679C3" w:rsidRPr="008679C3" w:rsidRDefault="008679C3" w:rsidP="00EA322E">
      <w:pPr>
        <w:numPr>
          <w:ilvl w:val="1"/>
          <w:numId w:val="35"/>
        </w:numPr>
        <w:tabs>
          <w:tab w:val="clear" w:pos="1440"/>
          <w:tab w:val="num" w:pos="720"/>
        </w:tabs>
        <w:overflowPunct/>
        <w:autoSpaceDE/>
        <w:autoSpaceDN/>
        <w:adjustRightInd/>
        <w:spacing w:after="0" w:line="216" w:lineRule="auto"/>
        <w:ind w:left="1800"/>
        <w:contextualSpacing/>
        <w:textAlignment w:val="auto"/>
        <w:rPr>
          <w:rFonts w:eastAsia="Times New Roman"/>
          <w:color w:val="auto"/>
          <w:sz w:val="24"/>
          <w:szCs w:val="24"/>
          <w:lang w:eastAsia="en-GB"/>
        </w:rPr>
      </w:pPr>
      <w:r w:rsidRPr="002A0B33">
        <w:rPr>
          <w:rFonts w:ascii="Calibri" w:eastAsia="Times New Roman" w:hAnsi="Calibri"/>
          <w:kern w:val="24"/>
          <w:sz w:val="24"/>
          <w:szCs w:val="24"/>
          <w:lang w:eastAsia="en-GB"/>
        </w:rPr>
        <w:t>if</w:t>
      </w:r>
      <w:r w:rsidRPr="002A0B33">
        <w:rPr>
          <w:rFonts w:ascii="Calibri" w:eastAsia="Times New Roman" w:hAnsi="Calibri"/>
          <w:bCs/>
          <w:kern w:val="24"/>
          <w:sz w:val="24"/>
          <w:szCs w:val="24"/>
          <w:lang w:eastAsia="en-GB"/>
        </w:rPr>
        <w:t xml:space="preserve"> in a PLMN there were e.g. 10 Radio capability filters, we could have then ab</w:t>
      </w:r>
      <w:r w:rsidR="002A0B33" w:rsidRPr="002A0B33">
        <w:rPr>
          <w:rFonts w:ascii="Calibri" w:eastAsia="Times New Roman" w:hAnsi="Calibri"/>
          <w:bCs/>
          <w:kern w:val="24"/>
          <w:sz w:val="24"/>
          <w:szCs w:val="24"/>
          <w:lang w:eastAsia="en-GB"/>
        </w:rPr>
        <w:t>o</w:t>
      </w:r>
      <w:r w:rsidRPr="002A0B33">
        <w:rPr>
          <w:rFonts w:ascii="Calibri" w:eastAsia="Times New Roman" w:hAnsi="Calibri"/>
          <w:bCs/>
          <w:kern w:val="24"/>
          <w:sz w:val="24"/>
          <w:szCs w:val="24"/>
          <w:lang w:eastAsia="en-GB"/>
        </w:rPr>
        <w:t xml:space="preserve">ut </w:t>
      </w:r>
      <w:r w:rsidR="002A0B33" w:rsidRPr="002A0B33">
        <w:rPr>
          <w:rFonts w:ascii="Calibri" w:eastAsia="Times New Roman" w:hAnsi="Calibri"/>
          <w:bCs/>
          <w:kern w:val="24"/>
          <w:sz w:val="24"/>
          <w:szCs w:val="24"/>
          <w:lang w:eastAsia="en-GB"/>
        </w:rPr>
        <w:t xml:space="preserve">5 </w:t>
      </w:r>
      <w:r w:rsidRPr="002A0B33">
        <w:rPr>
          <w:rFonts w:ascii="Calibri" w:eastAsia="Times New Roman" w:hAnsi="Calibri"/>
          <w:bCs/>
          <w:kern w:val="24"/>
          <w:sz w:val="24"/>
          <w:szCs w:val="24"/>
          <w:lang w:eastAsia="en-GB"/>
        </w:rPr>
        <w:t>M new IDs per year.</w:t>
      </w:r>
    </w:p>
    <w:p w14:paraId="57B25727" w14:textId="77777777" w:rsidR="002A0B33" w:rsidRDefault="002A0B33" w:rsidP="008679C3">
      <w:pPr>
        <w:rPr>
          <w:rFonts w:ascii="Calibri" w:eastAsia="Times New Roman" w:hAnsi="Calibri"/>
          <w:kern w:val="24"/>
          <w:sz w:val="24"/>
          <w:szCs w:val="24"/>
          <w:lang w:eastAsia="en-GB"/>
        </w:rPr>
      </w:pPr>
    </w:p>
    <w:p w14:paraId="65E16166" w14:textId="42E0BA4E" w:rsidR="008679C3" w:rsidRPr="002A0B33" w:rsidRDefault="002A0B33" w:rsidP="008679C3">
      <w:pPr>
        <w:rPr>
          <w:rFonts w:ascii="Calibri" w:eastAsia="Times New Roman" w:hAnsi="Calibri"/>
          <w:bCs/>
          <w:kern w:val="24"/>
          <w:sz w:val="24"/>
          <w:szCs w:val="24"/>
          <w:lang w:eastAsia="en-GB"/>
        </w:rPr>
      </w:pPr>
      <w:r>
        <w:rPr>
          <w:rFonts w:ascii="Calibri" w:eastAsia="Times New Roman" w:hAnsi="Calibri"/>
          <w:kern w:val="24"/>
          <w:sz w:val="24"/>
          <w:szCs w:val="24"/>
          <w:lang w:eastAsia="en-GB"/>
        </w:rPr>
        <w:t xml:space="preserve">So, </w:t>
      </w:r>
      <w:r w:rsidRPr="008679C3">
        <w:rPr>
          <w:rFonts w:ascii="Calibri" w:eastAsia="Times New Roman" w:hAnsi="Calibri"/>
          <w:kern w:val="24"/>
          <w:sz w:val="24"/>
          <w:szCs w:val="24"/>
          <w:lang w:eastAsia="en-GB"/>
        </w:rPr>
        <w:t>assuming</w:t>
      </w:r>
      <w:r w:rsidR="008679C3" w:rsidRPr="008679C3">
        <w:rPr>
          <w:rFonts w:ascii="Calibri" w:eastAsia="Times New Roman" w:hAnsi="Calibri"/>
          <w:kern w:val="24"/>
          <w:sz w:val="24"/>
          <w:szCs w:val="24"/>
          <w:lang w:eastAsia="en-GB"/>
        </w:rPr>
        <w:t xml:space="preserve"> each ID maps to about 32KB UE radio capability (again very optimistic</w:t>
      </w:r>
      <w:r w:rsidR="008679C3" w:rsidRPr="002A0B33">
        <w:rPr>
          <w:rFonts w:ascii="Calibri" w:eastAsia="Times New Roman" w:hAnsi="Calibri"/>
          <w:kern w:val="24"/>
          <w:sz w:val="24"/>
          <w:szCs w:val="24"/>
          <w:lang w:eastAsia="en-GB"/>
        </w:rPr>
        <w:t xml:space="preserve">) </w:t>
      </w:r>
      <w:r w:rsidR="008679C3" w:rsidRPr="002A0B33">
        <w:rPr>
          <w:rFonts w:ascii="Calibri" w:eastAsia="Times New Roman" w:hAnsi="Calibri"/>
          <w:bCs/>
          <w:kern w:val="24"/>
          <w:sz w:val="24"/>
          <w:szCs w:val="24"/>
          <w:lang w:eastAsia="en-GB"/>
        </w:rPr>
        <w:t xml:space="preserve">we add each year about </w:t>
      </w:r>
      <w:r w:rsidRPr="002A0B33">
        <w:rPr>
          <w:rFonts w:ascii="Calibri" w:eastAsia="Times New Roman" w:hAnsi="Calibri"/>
          <w:bCs/>
          <w:kern w:val="24"/>
          <w:sz w:val="24"/>
          <w:szCs w:val="24"/>
          <w:lang w:eastAsia="en-GB"/>
        </w:rPr>
        <w:t xml:space="preserve">8 </w:t>
      </w:r>
      <w:r w:rsidR="008679C3" w:rsidRPr="002A0B33">
        <w:rPr>
          <w:rFonts w:ascii="Calibri" w:eastAsia="Times New Roman" w:hAnsi="Calibri"/>
          <w:bCs/>
          <w:kern w:val="24"/>
          <w:sz w:val="24"/>
          <w:szCs w:val="24"/>
          <w:lang w:eastAsia="en-GB"/>
        </w:rPr>
        <w:t xml:space="preserve">GB to the database if we use a PLMN wide filter or </w:t>
      </w:r>
      <w:r w:rsidRPr="002A0B33">
        <w:rPr>
          <w:rFonts w:ascii="Calibri" w:eastAsia="Times New Roman" w:hAnsi="Calibri"/>
          <w:bCs/>
          <w:kern w:val="24"/>
          <w:sz w:val="24"/>
          <w:szCs w:val="24"/>
          <w:lang w:eastAsia="en-GB"/>
        </w:rPr>
        <w:t>160</w:t>
      </w:r>
      <w:r w:rsidR="008679C3" w:rsidRPr="002A0B33">
        <w:rPr>
          <w:rFonts w:ascii="Calibri" w:eastAsia="Times New Roman" w:hAnsi="Calibri"/>
          <w:bCs/>
          <w:kern w:val="24"/>
          <w:sz w:val="24"/>
          <w:szCs w:val="24"/>
          <w:lang w:eastAsia="en-GB"/>
        </w:rPr>
        <w:t xml:space="preserve"> GB if we do assume 10 filters in a PLMN (but if a PLMN does not take care of filter control this number can be much bigger!).</w:t>
      </w:r>
    </w:p>
    <w:p w14:paraId="32B9EA2E" w14:textId="10AC4A87" w:rsidR="002A0B33" w:rsidRDefault="002A0B33" w:rsidP="008679C3">
      <w:pPr>
        <w:rPr>
          <w:rFonts w:ascii="Calibri" w:eastAsia="Times New Roman" w:hAnsi="Calibri"/>
          <w:b/>
          <w:bCs/>
          <w:kern w:val="24"/>
          <w:sz w:val="24"/>
          <w:szCs w:val="24"/>
          <w:lang w:eastAsia="en-GB"/>
        </w:rPr>
      </w:pPr>
      <w:r>
        <w:rPr>
          <w:rFonts w:ascii="Calibri" w:eastAsia="Times New Roman" w:hAnsi="Calibri"/>
          <w:b/>
          <w:bCs/>
          <w:kern w:val="24"/>
          <w:sz w:val="24"/>
          <w:szCs w:val="24"/>
          <w:lang w:eastAsia="en-GB"/>
        </w:rPr>
        <w:t>Note: the database of what UE radio capability ID maps to which set of UE radio capabilities needs to be maintained with as many entries as possible in CN nodes for RACS to operate effectively</w:t>
      </w:r>
      <w:r w:rsidR="00FB0DE9">
        <w:rPr>
          <w:rFonts w:ascii="Calibri" w:eastAsia="Times New Roman" w:hAnsi="Calibri"/>
          <w:b/>
          <w:bCs/>
          <w:kern w:val="24"/>
          <w:sz w:val="24"/>
          <w:szCs w:val="24"/>
          <w:lang w:eastAsia="en-GB"/>
        </w:rPr>
        <w:t xml:space="preserve"> and efficiently – as otherwise very frequent UCMF interactions would be required, which means a lot of C-plane </w:t>
      </w:r>
      <w:r w:rsidR="001767FF">
        <w:rPr>
          <w:rFonts w:ascii="Calibri" w:eastAsia="Times New Roman" w:hAnsi="Calibri"/>
          <w:b/>
          <w:bCs/>
          <w:kern w:val="24"/>
          <w:sz w:val="24"/>
          <w:szCs w:val="24"/>
          <w:lang w:eastAsia="en-GB"/>
        </w:rPr>
        <w:t>processing)</w:t>
      </w:r>
      <w:r>
        <w:rPr>
          <w:rFonts w:ascii="Calibri" w:eastAsia="Times New Roman" w:hAnsi="Calibri"/>
          <w:b/>
          <w:bCs/>
          <w:kern w:val="24"/>
          <w:sz w:val="24"/>
          <w:szCs w:val="24"/>
          <w:lang w:eastAsia="en-GB"/>
        </w:rPr>
        <w:t xml:space="preserve">. This means that AMF/MME </w:t>
      </w:r>
      <w:r w:rsidR="00FB0DE9">
        <w:rPr>
          <w:rFonts w:ascii="Calibri" w:eastAsia="Times New Roman" w:hAnsi="Calibri"/>
          <w:b/>
          <w:bCs/>
          <w:kern w:val="24"/>
          <w:sz w:val="24"/>
          <w:szCs w:val="24"/>
          <w:lang w:eastAsia="en-GB"/>
        </w:rPr>
        <w:t xml:space="preserve">sets </w:t>
      </w:r>
      <w:r>
        <w:rPr>
          <w:rFonts w:ascii="Calibri" w:eastAsia="Times New Roman" w:hAnsi="Calibri"/>
          <w:b/>
          <w:bCs/>
          <w:kern w:val="24"/>
          <w:sz w:val="24"/>
          <w:szCs w:val="24"/>
          <w:lang w:eastAsia="en-GB"/>
        </w:rPr>
        <w:t>may end up needing lots</w:t>
      </w:r>
      <w:r w:rsidR="00FB0DE9">
        <w:rPr>
          <w:rFonts w:ascii="Calibri" w:eastAsia="Times New Roman" w:hAnsi="Calibri"/>
          <w:b/>
          <w:bCs/>
          <w:kern w:val="24"/>
          <w:sz w:val="24"/>
          <w:szCs w:val="24"/>
          <w:lang w:eastAsia="en-GB"/>
        </w:rPr>
        <w:t xml:space="preserve"> (several millions!)</w:t>
      </w:r>
      <w:r>
        <w:rPr>
          <w:rFonts w:ascii="Calibri" w:eastAsia="Times New Roman" w:hAnsi="Calibri"/>
          <w:b/>
          <w:bCs/>
          <w:kern w:val="24"/>
          <w:sz w:val="24"/>
          <w:szCs w:val="24"/>
          <w:lang w:eastAsia="en-GB"/>
        </w:rPr>
        <w:t xml:space="preserve"> of IDs in local storage mapped to their meaning (as these CN nodes are not assumed to be required to optimise storage by “</w:t>
      </w:r>
      <w:r w:rsidR="00FB0DE9">
        <w:rPr>
          <w:rFonts w:ascii="Calibri" w:eastAsia="Times New Roman" w:hAnsi="Calibri"/>
          <w:b/>
          <w:bCs/>
          <w:kern w:val="24"/>
          <w:sz w:val="24"/>
          <w:szCs w:val="24"/>
          <w:lang w:eastAsia="en-GB"/>
        </w:rPr>
        <w:t>understanding</w:t>
      </w:r>
      <w:r>
        <w:rPr>
          <w:rFonts w:ascii="Calibri" w:eastAsia="Times New Roman" w:hAnsi="Calibri"/>
          <w:b/>
          <w:bCs/>
          <w:kern w:val="24"/>
          <w:sz w:val="24"/>
          <w:szCs w:val="24"/>
          <w:lang w:eastAsia="en-GB"/>
        </w:rPr>
        <w:t>” the meaning of UE radio capabilities - as it is currently the case, MME and AMF do not inspect the UE radio capabilities information they store)</w:t>
      </w:r>
    </w:p>
    <w:p w14:paraId="7FB26873" w14:textId="3E75F66C" w:rsidR="00EB2434" w:rsidRDefault="00EB2434" w:rsidP="00EB2434">
      <w:pPr>
        <w:pStyle w:val="Heading1"/>
      </w:pPr>
      <w:r>
        <w:t xml:space="preserve">Annex </w:t>
      </w:r>
      <w:proofErr w:type="gramStart"/>
      <w:r>
        <w:t>2 :</w:t>
      </w:r>
      <w:proofErr w:type="gramEnd"/>
      <w:r>
        <w:t xml:space="preserve"> Need of storing association of UE radio capability to TAC?</w:t>
      </w:r>
    </w:p>
    <w:p w14:paraId="03DAAB26" w14:textId="4E7B5B62" w:rsidR="002A0B33" w:rsidRDefault="002A0B33" w:rsidP="008679C3">
      <w:pPr>
        <w:rPr>
          <w:sz w:val="24"/>
          <w:szCs w:val="24"/>
        </w:rPr>
      </w:pPr>
    </w:p>
    <w:p w14:paraId="6D6DA9BF" w14:textId="5C2C9448" w:rsidR="00EB2434" w:rsidRDefault="00724B81" w:rsidP="008679C3">
      <w:pPr>
        <w:rPr>
          <w:sz w:val="24"/>
          <w:szCs w:val="24"/>
        </w:rPr>
      </w:pPr>
      <w:r w:rsidRPr="00724B81">
        <w:rPr>
          <w:b/>
          <w:sz w:val="24"/>
          <w:szCs w:val="24"/>
        </w:rPr>
        <w:t xml:space="preserve">For Manufacturer assigned </w:t>
      </w:r>
      <w:r>
        <w:rPr>
          <w:b/>
          <w:sz w:val="24"/>
          <w:szCs w:val="24"/>
        </w:rPr>
        <w:t xml:space="preserve">UE Radio Capability </w:t>
      </w:r>
      <w:r w:rsidRPr="00724B81">
        <w:rPr>
          <w:b/>
          <w:sz w:val="24"/>
          <w:szCs w:val="24"/>
        </w:rPr>
        <w:t>ID</w:t>
      </w:r>
      <w:r>
        <w:rPr>
          <w:b/>
          <w:sz w:val="24"/>
          <w:szCs w:val="24"/>
        </w:rPr>
        <w:t>s</w:t>
      </w:r>
      <w:r>
        <w:rPr>
          <w:sz w:val="24"/>
          <w:szCs w:val="24"/>
        </w:rPr>
        <w:t>, the UE vendor will keep a list of TACs that use manufacturer assigned ID and which IDs each TAC uses.</w:t>
      </w:r>
    </w:p>
    <w:p w14:paraId="6677DE94" w14:textId="26A980B5" w:rsidR="00724B81" w:rsidRDefault="00724B81" w:rsidP="008679C3">
      <w:pPr>
        <w:rPr>
          <w:sz w:val="24"/>
          <w:szCs w:val="24"/>
        </w:rPr>
      </w:pPr>
      <w:r>
        <w:rPr>
          <w:sz w:val="24"/>
          <w:szCs w:val="24"/>
        </w:rPr>
        <w:t xml:space="preserve">The UE Manufacturer does not need to provide operators with the association of each ID to each TAC, rather the list of TACs that support manufacturer assigned ID. </w:t>
      </w:r>
    </w:p>
    <w:p w14:paraId="4FBB5E8B" w14:textId="6226DC93" w:rsidR="00724B81" w:rsidRPr="00724B81" w:rsidRDefault="00724B81" w:rsidP="008679C3">
      <w:pPr>
        <w:rPr>
          <w:b/>
          <w:sz w:val="24"/>
          <w:szCs w:val="24"/>
        </w:rPr>
      </w:pPr>
    </w:p>
    <w:p w14:paraId="07E8EAB1" w14:textId="020887B1" w:rsidR="00724B81" w:rsidRPr="00724B81" w:rsidRDefault="00724B81" w:rsidP="008679C3">
      <w:pPr>
        <w:rPr>
          <w:b/>
          <w:sz w:val="24"/>
          <w:szCs w:val="24"/>
        </w:rPr>
      </w:pPr>
      <w:r w:rsidRPr="00724B81">
        <w:rPr>
          <w:b/>
          <w:sz w:val="24"/>
          <w:szCs w:val="24"/>
        </w:rPr>
        <w:t>For PLMN-Assigned UE radio Capability IDs, the following applies</w:t>
      </w:r>
      <w:r>
        <w:rPr>
          <w:b/>
          <w:sz w:val="24"/>
          <w:szCs w:val="24"/>
        </w:rPr>
        <w:t>:</w:t>
      </w:r>
    </w:p>
    <w:tbl>
      <w:tblPr>
        <w:tblStyle w:val="TableGrid"/>
        <w:tblW w:w="0" w:type="auto"/>
        <w:tblLook w:val="04A0" w:firstRow="1" w:lastRow="0" w:firstColumn="1" w:lastColumn="0" w:noHBand="0" w:noVBand="1"/>
      </w:tblPr>
      <w:tblGrid>
        <w:gridCol w:w="2943"/>
        <w:gridCol w:w="2127"/>
        <w:gridCol w:w="4784"/>
      </w:tblGrid>
      <w:tr w:rsidR="00724B81" w14:paraId="5ABBEDDD" w14:textId="77777777" w:rsidTr="0093531A">
        <w:tc>
          <w:tcPr>
            <w:tcW w:w="2943" w:type="dxa"/>
            <w:shd w:val="clear" w:color="auto" w:fill="FFC000"/>
          </w:tcPr>
          <w:p w14:paraId="3964EC5B" w14:textId="3B2A5DE3" w:rsidR="00724B81" w:rsidRPr="00724B81" w:rsidRDefault="00724B81" w:rsidP="00724B81">
            <w:pPr>
              <w:jc w:val="center"/>
              <w:rPr>
                <w:b/>
                <w:sz w:val="24"/>
                <w:szCs w:val="24"/>
              </w:rPr>
            </w:pPr>
            <w:r w:rsidRPr="00724B81">
              <w:rPr>
                <w:b/>
                <w:sz w:val="24"/>
                <w:szCs w:val="24"/>
              </w:rPr>
              <w:t>PLMN deployment</w:t>
            </w:r>
          </w:p>
        </w:tc>
        <w:tc>
          <w:tcPr>
            <w:tcW w:w="2127" w:type="dxa"/>
            <w:shd w:val="clear" w:color="auto" w:fill="FFC000"/>
          </w:tcPr>
          <w:p w14:paraId="6FCC373F" w14:textId="7CCBAB5E" w:rsidR="00724B81" w:rsidRPr="00724B81" w:rsidRDefault="00724B81" w:rsidP="00724B81">
            <w:pPr>
              <w:jc w:val="center"/>
              <w:rPr>
                <w:b/>
                <w:sz w:val="24"/>
                <w:szCs w:val="24"/>
              </w:rPr>
            </w:pPr>
            <w:r w:rsidRPr="00724B81">
              <w:rPr>
                <w:b/>
                <w:sz w:val="24"/>
                <w:szCs w:val="24"/>
              </w:rPr>
              <w:t>Need to store UE radio capability ID to</w:t>
            </w:r>
            <w:r>
              <w:rPr>
                <w:b/>
                <w:sz w:val="24"/>
                <w:szCs w:val="24"/>
              </w:rPr>
              <w:t xml:space="preserve"> </w:t>
            </w:r>
            <w:r w:rsidRPr="00724B81">
              <w:rPr>
                <w:b/>
                <w:sz w:val="24"/>
                <w:szCs w:val="24"/>
              </w:rPr>
              <w:t>TAC association</w:t>
            </w:r>
            <w:r>
              <w:rPr>
                <w:b/>
                <w:sz w:val="24"/>
                <w:szCs w:val="24"/>
              </w:rPr>
              <w:t xml:space="preserve"> in UCMF</w:t>
            </w:r>
          </w:p>
        </w:tc>
        <w:tc>
          <w:tcPr>
            <w:tcW w:w="4784" w:type="dxa"/>
            <w:shd w:val="clear" w:color="auto" w:fill="FFC000"/>
          </w:tcPr>
          <w:p w14:paraId="08706413" w14:textId="43849074" w:rsidR="00724B81" w:rsidRPr="00724B81" w:rsidRDefault="00724B81" w:rsidP="00724B81">
            <w:pPr>
              <w:jc w:val="center"/>
              <w:rPr>
                <w:b/>
                <w:sz w:val="24"/>
                <w:szCs w:val="24"/>
              </w:rPr>
            </w:pPr>
            <w:r w:rsidRPr="00724B81">
              <w:rPr>
                <w:b/>
                <w:sz w:val="24"/>
                <w:szCs w:val="24"/>
              </w:rPr>
              <w:t>Rationale</w:t>
            </w:r>
          </w:p>
        </w:tc>
      </w:tr>
      <w:tr w:rsidR="00724B81" w14:paraId="48B7D32E" w14:textId="77777777" w:rsidTr="0093531A">
        <w:tc>
          <w:tcPr>
            <w:tcW w:w="2943" w:type="dxa"/>
          </w:tcPr>
          <w:p w14:paraId="76A123A1" w14:textId="126CF4B3" w:rsidR="00724B81" w:rsidRPr="00724B81" w:rsidRDefault="00724B81" w:rsidP="00724B81">
            <w:pPr>
              <w:jc w:val="center"/>
              <w:rPr>
                <w:b/>
                <w:sz w:val="24"/>
                <w:szCs w:val="24"/>
              </w:rPr>
            </w:pPr>
            <w:r w:rsidRPr="00724B81">
              <w:rPr>
                <w:b/>
                <w:sz w:val="24"/>
                <w:szCs w:val="24"/>
              </w:rPr>
              <w:t>PLMN does not use Manufacturer Assigned IDs</w:t>
            </w:r>
          </w:p>
        </w:tc>
        <w:tc>
          <w:tcPr>
            <w:tcW w:w="2127" w:type="dxa"/>
          </w:tcPr>
          <w:p w14:paraId="1EE0CA5B" w14:textId="26DCFEB6" w:rsidR="00724B81" w:rsidRPr="00724B81" w:rsidRDefault="00724B81" w:rsidP="00724B81">
            <w:pPr>
              <w:jc w:val="center"/>
              <w:rPr>
                <w:b/>
                <w:sz w:val="24"/>
                <w:szCs w:val="24"/>
              </w:rPr>
            </w:pPr>
            <w:r w:rsidRPr="00724B81">
              <w:rPr>
                <w:b/>
                <w:sz w:val="24"/>
                <w:szCs w:val="24"/>
              </w:rPr>
              <w:t>N</w:t>
            </w:r>
            <w:r>
              <w:rPr>
                <w:b/>
                <w:sz w:val="24"/>
                <w:szCs w:val="24"/>
              </w:rPr>
              <w:t>O</w:t>
            </w:r>
          </w:p>
        </w:tc>
        <w:tc>
          <w:tcPr>
            <w:tcW w:w="4784" w:type="dxa"/>
          </w:tcPr>
          <w:p w14:paraId="30BFCA12" w14:textId="0C4647DA" w:rsidR="00724B81" w:rsidRPr="00724B81" w:rsidRDefault="00724B81" w:rsidP="00724B81">
            <w:pPr>
              <w:jc w:val="center"/>
              <w:rPr>
                <w:b/>
                <w:sz w:val="24"/>
                <w:szCs w:val="24"/>
              </w:rPr>
            </w:pPr>
            <w:r>
              <w:rPr>
                <w:b/>
                <w:sz w:val="24"/>
                <w:szCs w:val="24"/>
              </w:rPr>
              <w:t>The UCMF needs only to know which Id maps to which Radio capability set as there is no need to ever remove these IDs per TAC due to transition to UE Manufacturer assigned IDs</w:t>
            </w:r>
          </w:p>
        </w:tc>
      </w:tr>
      <w:tr w:rsidR="00724B81" w:rsidRPr="00724B81" w14:paraId="278ADC77" w14:textId="77777777" w:rsidTr="0093531A">
        <w:tc>
          <w:tcPr>
            <w:tcW w:w="2943" w:type="dxa"/>
          </w:tcPr>
          <w:p w14:paraId="3ADDDE64" w14:textId="3C4448C4" w:rsidR="00724B81" w:rsidRPr="00724B81" w:rsidRDefault="00724B81" w:rsidP="00F36F18">
            <w:pPr>
              <w:jc w:val="center"/>
              <w:rPr>
                <w:b/>
                <w:sz w:val="24"/>
                <w:szCs w:val="24"/>
              </w:rPr>
            </w:pPr>
            <w:r w:rsidRPr="00724B81">
              <w:rPr>
                <w:b/>
                <w:sz w:val="24"/>
                <w:szCs w:val="24"/>
              </w:rPr>
              <w:t xml:space="preserve">PLMN </w:t>
            </w:r>
            <w:r w:rsidR="0093531A">
              <w:rPr>
                <w:b/>
                <w:sz w:val="24"/>
                <w:szCs w:val="24"/>
              </w:rPr>
              <w:t>uses</w:t>
            </w:r>
            <w:r w:rsidRPr="00724B81">
              <w:rPr>
                <w:b/>
                <w:sz w:val="24"/>
                <w:szCs w:val="24"/>
              </w:rPr>
              <w:t xml:space="preserve"> Manufacturer </w:t>
            </w:r>
            <w:r w:rsidRPr="00724B81">
              <w:rPr>
                <w:b/>
                <w:sz w:val="24"/>
                <w:szCs w:val="24"/>
              </w:rPr>
              <w:lastRenderedPageBreak/>
              <w:t>Assigned IDs</w:t>
            </w:r>
          </w:p>
        </w:tc>
        <w:tc>
          <w:tcPr>
            <w:tcW w:w="2127" w:type="dxa"/>
          </w:tcPr>
          <w:p w14:paraId="6CA969E2" w14:textId="04B9B2A6" w:rsidR="00724B81" w:rsidRPr="00724B81" w:rsidRDefault="00724B81" w:rsidP="00F36F18">
            <w:pPr>
              <w:jc w:val="center"/>
              <w:rPr>
                <w:b/>
                <w:sz w:val="24"/>
                <w:szCs w:val="24"/>
              </w:rPr>
            </w:pPr>
            <w:r>
              <w:rPr>
                <w:b/>
                <w:sz w:val="24"/>
                <w:szCs w:val="24"/>
              </w:rPr>
              <w:lastRenderedPageBreak/>
              <w:t>YES</w:t>
            </w:r>
          </w:p>
        </w:tc>
        <w:tc>
          <w:tcPr>
            <w:tcW w:w="4784" w:type="dxa"/>
          </w:tcPr>
          <w:p w14:paraId="3A4FEED9" w14:textId="540BF462" w:rsidR="00724B81" w:rsidRPr="00724B81" w:rsidRDefault="00724B81" w:rsidP="00F36F18">
            <w:pPr>
              <w:jc w:val="center"/>
              <w:rPr>
                <w:b/>
                <w:sz w:val="24"/>
                <w:szCs w:val="24"/>
              </w:rPr>
            </w:pPr>
            <w:r>
              <w:rPr>
                <w:b/>
                <w:sz w:val="24"/>
                <w:szCs w:val="24"/>
              </w:rPr>
              <w:t xml:space="preserve">The UCMF needs to know which PLMN </w:t>
            </w:r>
            <w:r>
              <w:rPr>
                <w:b/>
                <w:sz w:val="24"/>
                <w:szCs w:val="24"/>
              </w:rPr>
              <w:lastRenderedPageBreak/>
              <w:t>assigned IDs maps to which Radio capability set AND which TACs use an ID. When a dictionary from a UE vendor is deployed in UCMF, the vendor provides the list of TACs the Dictionary applies to. The corresponding TAC values are removed from the association of PLMN assigned IDs to TAC values. The UCMF st</w:t>
            </w:r>
            <w:r w:rsidR="00AF0F77">
              <w:rPr>
                <w:b/>
                <w:sz w:val="24"/>
                <w:szCs w:val="24"/>
              </w:rPr>
              <w:t>ores</w:t>
            </w:r>
            <w:r>
              <w:rPr>
                <w:b/>
                <w:sz w:val="24"/>
                <w:szCs w:val="24"/>
              </w:rPr>
              <w:t xml:space="preserve"> for </w:t>
            </w:r>
            <w:r w:rsidR="00AF0F77">
              <w:rPr>
                <w:b/>
                <w:sz w:val="24"/>
                <w:szCs w:val="24"/>
              </w:rPr>
              <w:t>each</w:t>
            </w:r>
            <w:r>
              <w:rPr>
                <w:b/>
                <w:sz w:val="24"/>
                <w:szCs w:val="24"/>
              </w:rPr>
              <w:t xml:space="preserve"> Vendor ID the applicable UE manufacturer assigned UE radio capability IDs and the list of TACs that use this dictionary</w:t>
            </w:r>
            <w:r w:rsidR="00AF0F77">
              <w:rPr>
                <w:b/>
                <w:sz w:val="24"/>
                <w:szCs w:val="24"/>
              </w:rPr>
              <w:t xml:space="preserve"> for the Vendor ID.  </w:t>
            </w:r>
          </w:p>
        </w:tc>
      </w:tr>
    </w:tbl>
    <w:p w14:paraId="47D8317E" w14:textId="77777777" w:rsidR="00724B81" w:rsidRPr="008679C3" w:rsidRDefault="00724B81" w:rsidP="008679C3">
      <w:pPr>
        <w:rPr>
          <w:sz w:val="24"/>
          <w:szCs w:val="24"/>
        </w:rPr>
      </w:pPr>
    </w:p>
    <w:sectPr w:rsidR="00724B81" w:rsidRPr="008679C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6CBC" w14:textId="77777777" w:rsidR="00DB29A8" w:rsidRDefault="00DB29A8">
      <w:r>
        <w:separator/>
      </w:r>
    </w:p>
    <w:p w14:paraId="6C030CA2" w14:textId="77777777" w:rsidR="00DB29A8" w:rsidRDefault="00DB29A8"/>
  </w:endnote>
  <w:endnote w:type="continuationSeparator" w:id="0">
    <w:p w14:paraId="02F11281" w14:textId="77777777" w:rsidR="00DB29A8" w:rsidRDefault="00DB29A8">
      <w:r>
        <w:continuationSeparator/>
      </w:r>
    </w:p>
    <w:p w14:paraId="755F85AC" w14:textId="77777777" w:rsidR="00DB29A8" w:rsidRDefault="00DB2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2C57" w14:textId="77777777" w:rsidR="00DB29A8" w:rsidRDefault="00DB29A8">
      <w:r>
        <w:separator/>
      </w:r>
    </w:p>
    <w:p w14:paraId="4794D3FB" w14:textId="77777777" w:rsidR="00DB29A8" w:rsidRDefault="00DB29A8"/>
  </w:footnote>
  <w:footnote w:type="continuationSeparator" w:id="0">
    <w:p w14:paraId="7AA7DE1B" w14:textId="77777777" w:rsidR="00DB29A8" w:rsidRDefault="00DB29A8">
      <w:r>
        <w:continuationSeparator/>
      </w:r>
    </w:p>
    <w:p w14:paraId="1500B9CE" w14:textId="77777777" w:rsidR="00DB29A8" w:rsidRDefault="00DB2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EFF5DE7"/>
    <w:multiLevelType w:val="hybridMultilevel"/>
    <w:tmpl w:val="6E7AB7B6"/>
    <w:lvl w:ilvl="0" w:tplc="49C22E1E">
      <w:start w:val="1"/>
      <w:numFmt w:val="bullet"/>
      <w:lvlText w:val="•"/>
      <w:lvlJc w:val="left"/>
      <w:pPr>
        <w:tabs>
          <w:tab w:val="num" w:pos="720"/>
        </w:tabs>
        <w:ind w:left="720" w:hanging="360"/>
      </w:pPr>
      <w:rPr>
        <w:rFonts w:ascii="Arial" w:hAnsi="Arial" w:hint="default"/>
      </w:rPr>
    </w:lvl>
    <w:lvl w:ilvl="1" w:tplc="8BA6E270">
      <w:start w:val="100"/>
      <w:numFmt w:val="bullet"/>
      <w:lvlText w:val="•"/>
      <w:lvlJc w:val="left"/>
      <w:pPr>
        <w:tabs>
          <w:tab w:val="num" w:pos="1440"/>
        </w:tabs>
        <w:ind w:left="1440" w:hanging="360"/>
      </w:pPr>
      <w:rPr>
        <w:rFonts w:ascii="Arial" w:hAnsi="Arial" w:hint="default"/>
      </w:rPr>
    </w:lvl>
    <w:lvl w:ilvl="2" w:tplc="A472384E">
      <w:start w:val="1"/>
      <w:numFmt w:val="bullet"/>
      <w:lvlText w:val="•"/>
      <w:lvlJc w:val="left"/>
      <w:pPr>
        <w:tabs>
          <w:tab w:val="num" w:pos="2160"/>
        </w:tabs>
        <w:ind w:left="2160" w:hanging="360"/>
      </w:pPr>
      <w:rPr>
        <w:rFonts w:ascii="Arial" w:hAnsi="Arial" w:hint="default"/>
      </w:rPr>
    </w:lvl>
    <w:lvl w:ilvl="3" w:tplc="59323550" w:tentative="1">
      <w:start w:val="1"/>
      <w:numFmt w:val="bullet"/>
      <w:lvlText w:val="•"/>
      <w:lvlJc w:val="left"/>
      <w:pPr>
        <w:tabs>
          <w:tab w:val="num" w:pos="2880"/>
        </w:tabs>
        <w:ind w:left="2880" w:hanging="360"/>
      </w:pPr>
      <w:rPr>
        <w:rFonts w:ascii="Arial" w:hAnsi="Arial" w:hint="default"/>
      </w:rPr>
    </w:lvl>
    <w:lvl w:ilvl="4" w:tplc="8480BEEA" w:tentative="1">
      <w:start w:val="1"/>
      <w:numFmt w:val="bullet"/>
      <w:lvlText w:val="•"/>
      <w:lvlJc w:val="left"/>
      <w:pPr>
        <w:tabs>
          <w:tab w:val="num" w:pos="3600"/>
        </w:tabs>
        <w:ind w:left="3600" w:hanging="360"/>
      </w:pPr>
      <w:rPr>
        <w:rFonts w:ascii="Arial" w:hAnsi="Arial" w:hint="default"/>
      </w:rPr>
    </w:lvl>
    <w:lvl w:ilvl="5" w:tplc="A3CC4E14" w:tentative="1">
      <w:start w:val="1"/>
      <w:numFmt w:val="bullet"/>
      <w:lvlText w:val="•"/>
      <w:lvlJc w:val="left"/>
      <w:pPr>
        <w:tabs>
          <w:tab w:val="num" w:pos="4320"/>
        </w:tabs>
        <w:ind w:left="4320" w:hanging="360"/>
      </w:pPr>
      <w:rPr>
        <w:rFonts w:ascii="Arial" w:hAnsi="Arial" w:hint="default"/>
      </w:rPr>
    </w:lvl>
    <w:lvl w:ilvl="6" w:tplc="CA3E3150" w:tentative="1">
      <w:start w:val="1"/>
      <w:numFmt w:val="bullet"/>
      <w:lvlText w:val="•"/>
      <w:lvlJc w:val="left"/>
      <w:pPr>
        <w:tabs>
          <w:tab w:val="num" w:pos="5040"/>
        </w:tabs>
        <w:ind w:left="5040" w:hanging="360"/>
      </w:pPr>
      <w:rPr>
        <w:rFonts w:ascii="Arial" w:hAnsi="Arial" w:hint="default"/>
      </w:rPr>
    </w:lvl>
    <w:lvl w:ilvl="7" w:tplc="1F6CB682" w:tentative="1">
      <w:start w:val="1"/>
      <w:numFmt w:val="bullet"/>
      <w:lvlText w:val="•"/>
      <w:lvlJc w:val="left"/>
      <w:pPr>
        <w:tabs>
          <w:tab w:val="num" w:pos="5760"/>
        </w:tabs>
        <w:ind w:left="5760" w:hanging="360"/>
      </w:pPr>
      <w:rPr>
        <w:rFonts w:ascii="Arial" w:hAnsi="Arial" w:hint="default"/>
      </w:rPr>
    </w:lvl>
    <w:lvl w:ilvl="8" w:tplc="52A4D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9"/>
  </w:num>
  <w:num w:numId="4">
    <w:abstractNumId w:val="19"/>
  </w:num>
  <w:num w:numId="5">
    <w:abstractNumId w:val="31"/>
  </w:num>
  <w:num w:numId="6">
    <w:abstractNumId w:val="11"/>
  </w:num>
  <w:num w:numId="7">
    <w:abstractNumId w:val="30"/>
  </w:num>
  <w:num w:numId="8">
    <w:abstractNumId w:val="24"/>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0"/>
  </w:num>
  <w:num w:numId="16">
    <w:abstractNumId w:val="25"/>
  </w:num>
  <w:num w:numId="17">
    <w:abstractNumId w:val="33"/>
  </w:num>
  <w:num w:numId="18">
    <w:abstractNumId w:val="27"/>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1F23"/>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7FF"/>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E61C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1BFC"/>
    <w:rsid w:val="00262262"/>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0B33"/>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A4"/>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182E"/>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96A94"/>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4B81"/>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57456"/>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93A"/>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679C3"/>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31A"/>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4FBA"/>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69E4"/>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0F77"/>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542"/>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4C28"/>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43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0DE9"/>
    <w:rsid w:val="00FB1830"/>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character" w:styleId="UnresolvedMention">
    <w:name w:val="Unresolved Mention"/>
    <w:basedOn w:val="DefaultParagraphFont"/>
    <w:uiPriority w:val="99"/>
    <w:semiHidden/>
    <w:unhideWhenUsed/>
    <w:rsid w:val="00DF4C28"/>
    <w:rPr>
      <w:color w:val="605E5C"/>
      <w:shd w:val="clear" w:color="auto" w:fill="E1DFDD"/>
    </w:rPr>
  </w:style>
  <w:style w:type="character" w:styleId="FollowedHyperlink">
    <w:name w:val="FollowedHyperlink"/>
    <w:basedOn w:val="DefaultParagraphFont"/>
    <w:semiHidden/>
    <w:unhideWhenUsed/>
    <w:rsid w:val="00DF4C28"/>
    <w:rPr>
      <w:color w:val="954F72" w:themeColor="followedHyperlink"/>
      <w:u w:val="single"/>
    </w:rPr>
  </w:style>
  <w:style w:type="paragraph" w:styleId="ListParagraph">
    <w:name w:val="List Paragraph"/>
    <w:basedOn w:val="Normal"/>
    <w:uiPriority w:val="34"/>
    <w:qFormat/>
    <w:rsid w:val="008679C3"/>
    <w:pPr>
      <w:overflowPunct/>
      <w:autoSpaceDE/>
      <w:autoSpaceDN/>
      <w:adjustRightInd/>
      <w:spacing w:after="0"/>
      <w:ind w:left="720"/>
      <w:contextualSpacing/>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2094082203">
      <w:bodyDiv w:val="1"/>
      <w:marLeft w:val="0"/>
      <w:marRight w:val="0"/>
      <w:marTop w:val="0"/>
      <w:marBottom w:val="0"/>
      <w:divBdr>
        <w:top w:val="none" w:sz="0" w:space="0" w:color="auto"/>
        <w:left w:val="none" w:sz="0" w:space="0" w:color="auto"/>
        <w:bottom w:val="none" w:sz="0" w:space="0" w:color="auto"/>
        <w:right w:val="none" w:sz="0" w:space="0" w:color="auto"/>
      </w:divBdr>
      <w:divsChild>
        <w:div w:id="1871262882">
          <w:marLeft w:val="360"/>
          <w:marRight w:val="0"/>
          <w:marTop w:val="200"/>
          <w:marBottom w:val="0"/>
          <w:divBdr>
            <w:top w:val="none" w:sz="0" w:space="0" w:color="auto"/>
            <w:left w:val="none" w:sz="0" w:space="0" w:color="auto"/>
            <w:bottom w:val="none" w:sz="0" w:space="0" w:color="auto"/>
            <w:right w:val="none" w:sz="0" w:space="0" w:color="auto"/>
          </w:divBdr>
        </w:div>
        <w:div w:id="245001629">
          <w:marLeft w:val="1080"/>
          <w:marRight w:val="0"/>
          <w:marTop w:val="100"/>
          <w:marBottom w:val="0"/>
          <w:divBdr>
            <w:top w:val="none" w:sz="0" w:space="0" w:color="auto"/>
            <w:left w:val="none" w:sz="0" w:space="0" w:color="auto"/>
            <w:bottom w:val="none" w:sz="0" w:space="0" w:color="auto"/>
            <w:right w:val="none" w:sz="0" w:space="0" w:color="auto"/>
          </w:divBdr>
        </w:div>
        <w:div w:id="1325664045">
          <w:marLeft w:val="1080"/>
          <w:marRight w:val="0"/>
          <w:marTop w:val="100"/>
          <w:marBottom w:val="0"/>
          <w:divBdr>
            <w:top w:val="none" w:sz="0" w:space="0" w:color="auto"/>
            <w:left w:val="none" w:sz="0" w:space="0" w:color="auto"/>
            <w:bottom w:val="none" w:sz="0" w:space="0" w:color="auto"/>
            <w:right w:val="none" w:sz="0" w:space="0" w:color="auto"/>
          </w:divBdr>
        </w:div>
        <w:div w:id="1332485776">
          <w:marLeft w:val="1080"/>
          <w:marRight w:val="0"/>
          <w:marTop w:val="100"/>
          <w:marBottom w:val="0"/>
          <w:divBdr>
            <w:top w:val="none" w:sz="0" w:space="0" w:color="auto"/>
            <w:left w:val="none" w:sz="0" w:space="0" w:color="auto"/>
            <w:bottom w:val="none" w:sz="0" w:space="0" w:color="auto"/>
            <w:right w:val="none" w:sz="0" w:space="0" w:color="auto"/>
          </w:divBdr>
        </w:div>
        <w:div w:id="998928372">
          <w:marLeft w:val="1080"/>
          <w:marRight w:val="0"/>
          <w:marTop w:val="100"/>
          <w:marBottom w:val="0"/>
          <w:divBdr>
            <w:top w:val="none" w:sz="0" w:space="0" w:color="auto"/>
            <w:left w:val="none" w:sz="0" w:space="0" w:color="auto"/>
            <w:bottom w:val="none" w:sz="0" w:space="0" w:color="auto"/>
            <w:right w:val="none" w:sz="0" w:space="0" w:color="auto"/>
          </w:divBdr>
        </w:div>
        <w:div w:id="844785714">
          <w:marLeft w:val="360"/>
          <w:marRight w:val="0"/>
          <w:marTop w:val="200"/>
          <w:marBottom w:val="0"/>
          <w:divBdr>
            <w:top w:val="none" w:sz="0" w:space="0" w:color="auto"/>
            <w:left w:val="none" w:sz="0" w:space="0" w:color="auto"/>
            <w:bottom w:val="none" w:sz="0" w:space="0" w:color="auto"/>
            <w:right w:val="none" w:sz="0" w:space="0" w:color="auto"/>
          </w:divBdr>
        </w:div>
        <w:div w:id="887180878">
          <w:marLeft w:val="1080"/>
          <w:marRight w:val="0"/>
          <w:marTop w:val="100"/>
          <w:marBottom w:val="0"/>
          <w:divBdr>
            <w:top w:val="none" w:sz="0" w:space="0" w:color="auto"/>
            <w:left w:val="none" w:sz="0" w:space="0" w:color="auto"/>
            <w:bottom w:val="none" w:sz="0" w:space="0" w:color="auto"/>
            <w:right w:val="none" w:sz="0" w:space="0" w:color="auto"/>
          </w:divBdr>
        </w:div>
        <w:div w:id="1713115628">
          <w:marLeft w:val="1080"/>
          <w:marRight w:val="0"/>
          <w:marTop w:val="100"/>
          <w:marBottom w:val="0"/>
          <w:divBdr>
            <w:top w:val="none" w:sz="0" w:space="0" w:color="auto"/>
            <w:left w:val="none" w:sz="0" w:space="0" w:color="auto"/>
            <w:bottom w:val="none" w:sz="0" w:space="0" w:color="auto"/>
            <w:right w:val="none" w:sz="0" w:space="0" w:color="auto"/>
          </w:divBdr>
        </w:div>
        <w:div w:id="756176977">
          <w:marLeft w:val="1080"/>
          <w:marRight w:val="0"/>
          <w:marTop w:val="100"/>
          <w:marBottom w:val="0"/>
          <w:divBdr>
            <w:top w:val="none" w:sz="0" w:space="0" w:color="auto"/>
            <w:left w:val="none" w:sz="0" w:space="0" w:color="auto"/>
            <w:bottom w:val="none" w:sz="0" w:space="0" w:color="auto"/>
            <w:right w:val="none" w:sz="0" w:space="0" w:color="auto"/>
          </w:divBdr>
        </w:div>
        <w:div w:id="722677465">
          <w:marLeft w:val="1080"/>
          <w:marRight w:val="0"/>
          <w:marTop w:val="100"/>
          <w:marBottom w:val="0"/>
          <w:divBdr>
            <w:top w:val="none" w:sz="0" w:space="0" w:color="auto"/>
            <w:left w:val="none" w:sz="0" w:space="0" w:color="auto"/>
            <w:bottom w:val="none" w:sz="0" w:space="0" w:color="auto"/>
            <w:right w:val="none" w:sz="0" w:space="0" w:color="auto"/>
          </w:divBdr>
        </w:div>
        <w:div w:id="31688106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4_protocollars_ex-CN4/TSGCT4_93_Wroclaw/Docs/C4-193612.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2564B-E97F-4D65-B30D-66B665929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4</Pages>
  <Words>1496</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NOKIA-revision</cp:lastModifiedBy>
  <cp:revision>18</cp:revision>
  <cp:lastPrinted>2017-01-31T19:04:00Z</cp:lastPrinted>
  <dcterms:created xsi:type="dcterms:W3CDTF">2019-05-02T11:35:00Z</dcterms:created>
  <dcterms:modified xsi:type="dcterms:W3CDTF">2019-10-03T09:24:00Z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